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302FD" w14:textId="6505759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973B57" w:rsidRPr="00A72757">
        <w:rPr>
          <w:rFonts w:ascii="Calibri" w:hAnsi="Calibri"/>
          <w:color w:val="00558C"/>
          <w:sz w:val="24"/>
          <w:szCs w:val="24"/>
        </w:rPr>
        <w:t>XXXX</w:t>
      </w:r>
      <w:r w:rsidRPr="00A72757">
        <w:rPr>
          <w:rFonts w:ascii="Calibri" w:hAnsi="Calibri"/>
          <w:color w:val="00558C"/>
          <w:sz w:val="24"/>
          <w:szCs w:val="24"/>
        </w:rPr>
        <w:t>-n.n</w:t>
      </w:r>
      <w:r w:rsidR="00E558C3" w:rsidRPr="00A72757">
        <w:rPr>
          <w:rFonts w:ascii="Calibri" w:hAnsi="Calibri"/>
          <w:color w:val="00558C"/>
          <w:sz w:val="24"/>
          <w:szCs w:val="24"/>
        </w:rPr>
        <w:t>.n</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656A0889" w:rsidR="0080294B" w:rsidRPr="00B0084A" w:rsidRDefault="00441368"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52226E">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B685C">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441368"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FC723E9" w:rsidR="00362CD9" w:rsidRDefault="00362CD9" w:rsidP="00FE5674">
      <w:pPr>
        <w:pStyle w:val="BodyText"/>
        <w:tabs>
          <w:tab w:val="left" w:pos="2835"/>
        </w:tabs>
        <w:rPr>
          <w:rFonts w:ascii="Calibri" w:hAnsi="Calibri"/>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2226E">
        <w:rPr>
          <w:rFonts w:ascii="Calibri" w:hAnsi="Calibri"/>
        </w:rPr>
        <w:t>S Millyard. ENG Chairman</w:t>
      </w:r>
    </w:p>
    <w:p w14:paraId="45B9963C" w14:textId="3FC63488" w:rsidR="00CC4B6D" w:rsidRPr="007A395D" w:rsidRDefault="00CC4B6D" w:rsidP="00FE5674">
      <w:pPr>
        <w:pStyle w:val="BodyText"/>
        <w:tabs>
          <w:tab w:val="left" w:pos="2835"/>
        </w:tabs>
        <w:rPr>
          <w:rFonts w:ascii="Calibri" w:hAnsi="Calibri"/>
          <w:color w:val="FF0000"/>
        </w:rPr>
      </w:pPr>
      <w:r w:rsidRPr="00CC4B6D">
        <w:rPr>
          <w:rFonts w:ascii="Calibri" w:hAnsi="Calibri"/>
          <w:b/>
          <w:bCs/>
          <w:color w:val="00558C"/>
          <w:sz w:val="24"/>
          <w:szCs w:val="24"/>
        </w:rPr>
        <w:t>Date</w:t>
      </w:r>
      <w:r>
        <w:rPr>
          <w:rFonts w:ascii="Calibri" w:hAnsi="Calibri"/>
        </w:rPr>
        <w:tab/>
      </w:r>
      <w:r>
        <w:rPr>
          <w:rFonts w:ascii="Calibri" w:hAnsi="Calibri"/>
        </w:rPr>
        <w:tab/>
      </w:r>
      <w:r>
        <w:rPr>
          <w:rFonts w:ascii="Calibri" w:hAnsi="Calibri"/>
        </w:rPr>
        <w:tab/>
        <w:t>13</w:t>
      </w:r>
      <w:r w:rsidRPr="00CC4B6D">
        <w:rPr>
          <w:rFonts w:ascii="Calibri" w:hAnsi="Calibri"/>
          <w:vertAlign w:val="superscript"/>
        </w:rPr>
        <w:t>th</w:t>
      </w:r>
      <w:r>
        <w:rPr>
          <w:rFonts w:ascii="Calibri" w:hAnsi="Calibri"/>
        </w:rPr>
        <w:t xml:space="preserve"> September 2022</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F5169A8" w:rsidR="00A446C9" w:rsidRPr="00605E43" w:rsidRDefault="0052226E" w:rsidP="0035243F">
      <w:pPr>
        <w:pStyle w:val="Title"/>
      </w:pPr>
      <w:r>
        <w:t>MASS Guideline development.</w:t>
      </w:r>
    </w:p>
    <w:p w14:paraId="2CC2DB54" w14:textId="7E581573" w:rsidR="009874F9" w:rsidRPr="009874F9" w:rsidRDefault="0052226E" w:rsidP="009874F9">
      <w:pPr>
        <w:pStyle w:val="Heading1"/>
      </w:pPr>
      <w:r>
        <w:t>Background</w:t>
      </w:r>
    </w:p>
    <w:p w14:paraId="5432CFB6" w14:textId="264B8A7B" w:rsidR="00B56BDF" w:rsidRDefault="0052226E" w:rsidP="00B56BDF">
      <w:pPr>
        <w:pStyle w:val="BodyText"/>
        <w:rPr>
          <w:rFonts w:ascii="Calibri" w:hAnsi="Calibri"/>
        </w:rPr>
      </w:pPr>
      <w:r>
        <w:rPr>
          <w:rFonts w:ascii="Calibri" w:hAnsi="Calibri"/>
        </w:rPr>
        <w:t xml:space="preserve">At recent PAP meetings and the MASS Task Force it was agreed that a joint IALA Guideline on AtoN for MASS </w:t>
      </w:r>
      <w:r w:rsidR="000B3EE9">
        <w:rPr>
          <w:rFonts w:ascii="Calibri" w:hAnsi="Calibri"/>
        </w:rPr>
        <w:t>would be developed between all committees. ENAV will be the coordinating committee who will oversee and manage the guideline.</w:t>
      </w:r>
    </w:p>
    <w:p w14:paraId="3B0C450F" w14:textId="343A55E0" w:rsidR="000B3EE9" w:rsidRDefault="000B3EE9" w:rsidP="00B56BDF">
      <w:pPr>
        <w:pStyle w:val="BodyText"/>
        <w:rPr>
          <w:rFonts w:ascii="Calibri" w:hAnsi="Calibri"/>
        </w:rPr>
      </w:pPr>
      <w:r>
        <w:rPr>
          <w:rFonts w:ascii="Calibri" w:hAnsi="Calibri"/>
        </w:rPr>
        <w:t xml:space="preserve">The topic of AtoN for MASS spans all committee specialities and each committee is requested to write the relevant sections for the new guideline. At PAP, the topics that will make up the guideline were discussed and are shown below though this list is not exhaustive and it is expected that other areas may be required </w:t>
      </w:r>
      <w:r w:rsidR="001B685C">
        <w:rPr>
          <w:rFonts w:ascii="Calibri" w:hAnsi="Calibri"/>
        </w:rPr>
        <w:t>o</w:t>
      </w:r>
      <w:r>
        <w:rPr>
          <w:rFonts w:ascii="Calibri" w:hAnsi="Calibri"/>
        </w:rPr>
        <w:t>nce the guideline is developed.</w:t>
      </w:r>
    </w:p>
    <w:tbl>
      <w:tblPr>
        <w:tblStyle w:val="TableGrid"/>
        <w:tblW w:w="0" w:type="auto"/>
        <w:jc w:val="center"/>
        <w:tblLook w:val="04A0" w:firstRow="1" w:lastRow="0" w:firstColumn="1" w:lastColumn="0" w:noHBand="0" w:noVBand="1"/>
      </w:tblPr>
      <w:tblGrid>
        <w:gridCol w:w="2263"/>
        <w:gridCol w:w="4395"/>
      </w:tblGrid>
      <w:tr w:rsidR="000B3EE9" w:rsidRPr="00837BBB" w14:paraId="34D6431E" w14:textId="77777777" w:rsidTr="00920862">
        <w:trPr>
          <w:jc w:val="center"/>
        </w:trPr>
        <w:tc>
          <w:tcPr>
            <w:tcW w:w="2263" w:type="dxa"/>
          </w:tcPr>
          <w:p w14:paraId="18E2F8BD" w14:textId="77777777" w:rsidR="000B3EE9" w:rsidRPr="00837BBB" w:rsidRDefault="000B3EE9" w:rsidP="000B3EE9">
            <w:pPr>
              <w:pStyle w:val="Tableheading"/>
              <w:suppressAutoHyphens/>
              <w:spacing w:before="0" w:after="0"/>
              <w:ind w:right="0"/>
            </w:pPr>
            <w:r w:rsidRPr="00837BBB">
              <w:t>Committee</w:t>
            </w:r>
          </w:p>
        </w:tc>
        <w:tc>
          <w:tcPr>
            <w:tcW w:w="4395" w:type="dxa"/>
          </w:tcPr>
          <w:p w14:paraId="566D294D" w14:textId="77777777" w:rsidR="000B3EE9" w:rsidRPr="00837BBB" w:rsidRDefault="000B3EE9" w:rsidP="000B3EE9">
            <w:pPr>
              <w:pStyle w:val="Tableheading"/>
              <w:suppressAutoHyphens/>
              <w:spacing w:before="0" w:after="0"/>
              <w:ind w:right="0"/>
            </w:pPr>
            <w:r w:rsidRPr="00837BBB">
              <w:t>Section to develop in the Guideline</w:t>
            </w:r>
          </w:p>
        </w:tc>
      </w:tr>
      <w:tr w:rsidR="000B3EE9" w14:paraId="79D018D1" w14:textId="77777777" w:rsidTr="00920862">
        <w:trPr>
          <w:jc w:val="center"/>
        </w:trPr>
        <w:tc>
          <w:tcPr>
            <w:tcW w:w="2263" w:type="dxa"/>
          </w:tcPr>
          <w:p w14:paraId="1AD9AF11" w14:textId="77777777" w:rsidR="000B3EE9" w:rsidRDefault="000B3EE9" w:rsidP="000B3EE9">
            <w:pPr>
              <w:pStyle w:val="Tabletext"/>
              <w:suppressAutoHyphens/>
              <w:spacing w:before="0" w:after="0"/>
              <w:ind w:right="0"/>
              <w:jc w:val="center"/>
            </w:pPr>
            <w:r>
              <w:t>ENAV</w:t>
            </w:r>
          </w:p>
        </w:tc>
        <w:tc>
          <w:tcPr>
            <w:tcW w:w="4395" w:type="dxa"/>
          </w:tcPr>
          <w:p w14:paraId="2C1DD87F" w14:textId="77777777" w:rsidR="000B3EE9" w:rsidRPr="00C36325" w:rsidRDefault="000B3EE9" w:rsidP="000B3EE9">
            <w:pPr>
              <w:pStyle w:val="Tabletext"/>
              <w:suppressAutoHyphens/>
              <w:spacing w:before="0" w:after="0"/>
              <w:ind w:right="0"/>
              <w:jc w:val="center"/>
              <w:rPr>
                <w:b/>
              </w:rPr>
            </w:pPr>
            <w:proofErr w:type="spellStart"/>
            <w:r w:rsidRPr="00C36325">
              <w:rPr>
                <w:b/>
              </w:rPr>
              <w:t>Overall</w:t>
            </w:r>
            <w:proofErr w:type="spellEnd"/>
            <w:r w:rsidRPr="00C36325">
              <w:rPr>
                <w:b/>
              </w:rPr>
              <w:t xml:space="preserve"> document </w:t>
            </w:r>
            <w:proofErr w:type="spellStart"/>
            <w:r w:rsidRPr="00C36325">
              <w:rPr>
                <w:b/>
              </w:rPr>
              <w:t>owner</w:t>
            </w:r>
            <w:proofErr w:type="spellEnd"/>
          </w:p>
          <w:p w14:paraId="10075841" w14:textId="77777777" w:rsidR="000B3EE9" w:rsidRDefault="000B3EE9" w:rsidP="000B3EE9">
            <w:pPr>
              <w:pStyle w:val="Tabletext"/>
              <w:suppressAutoHyphens/>
              <w:spacing w:before="0" w:after="0"/>
              <w:ind w:right="0"/>
              <w:jc w:val="center"/>
            </w:pPr>
            <w:r>
              <w:t>Communication media</w:t>
            </w:r>
          </w:p>
          <w:p w14:paraId="04D18078" w14:textId="77777777" w:rsidR="000B3EE9" w:rsidRDefault="000B3EE9" w:rsidP="000B3EE9">
            <w:pPr>
              <w:pStyle w:val="Tabletext"/>
              <w:suppressAutoHyphens/>
              <w:spacing w:before="0" w:after="0"/>
              <w:ind w:right="0"/>
              <w:jc w:val="center"/>
            </w:pPr>
            <w:r>
              <w:t xml:space="preserve">Data </w:t>
            </w:r>
            <w:proofErr w:type="spellStart"/>
            <w:r>
              <w:t>transfer</w:t>
            </w:r>
            <w:proofErr w:type="spellEnd"/>
            <w:r>
              <w:t xml:space="preserve"> standards</w:t>
            </w:r>
          </w:p>
          <w:p w14:paraId="743A40AD" w14:textId="77777777" w:rsidR="000B3EE9" w:rsidRDefault="000B3EE9" w:rsidP="000B3EE9">
            <w:pPr>
              <w:pStyle w:val="Tabletext"/>
              <w:suppressAutoHyphens/>
              <w:spacing w:before="0" w:after="0"/>
              <w:ind w:right="0"/>
              <w:jc w:val="center"/>
            </w:pPr>
            <w:r>
              <w:t>Cyber Security</w:t>
            </w:r>
          </w:p>
        </w:tc>
      </w:tr>
      <w:tr w:rsidR="000B3EE9" w14:paraId="78A76F15" w14:textId="77777777" w:rsidTr="00920862">
        <w:trPr>
          <w:jc w:val="center"/>
        </w:trPr>
        <w:tc>
          <w:tcPr>
            <w:tcW w:w="2263" w:type="dxa"/>
          </w:tcPr>
          <w:p w14:paraId="3F550063" w14:textId="77777777" w:rsidR="000B3EE9" w:rsidRDefault="000B3EE9" w:rsidP="000B3EE9">
            <w:pPr>
              <w:pStyle w:val="Tabletext"/>
              <w:suppressAutoHyphens/>
              <w:spacing w:before="0" w:after="0"/>
              <w:ind w:right="0"/>
              <w:jc w:val="center"/>
            </w:pPr>
            <w:r>
              <w:t>VTS</w:t>
            </w:r>
          </w:p>
        </w:tc>
        <w:tc>
          <w:tcPr>
            <w:tcW w:w="4395" w:type="dxa"/>
          </w:tcPr>
          <w:p w14:paraId="3AFCB68C" w14:textId="77777777" w:rsidR="000B3EE9" w:rsidRDefault="000B3EE9" w:rsidP="000B3EE9">
            <w:pPr>
              <w:pStyle w:val="Tabletext"/>
              <w:suppressAutoHyphens/>
              <w:spacing w:before="0" w:after="0"/>
              <w:ind w:right="0"/>
              <w:jc w:val="center"/>
            </w:pPr>
            <w:r>
              <w:t xml:space="preserve">VTS </w:t>
            </w:r>
            <w:proofErr w:type="spellStart"/>
            <w:r>
              <w:t>interraction</w:t>
            </w:r>
            <w:proofErr w:type="spellEnd"/>
            <w:r>
              <w:t xml:space="preserve"> </w:t>
            </w:r>
            <w:proofErr w:type="spellStart"/>
            <w:r>
              <w:t>with</w:t>
            </w:r>
            <w:proofErr w:type="spellEnd"/>
            <w:r>
              <w:t xml:space="preserve"> MASS</w:t>
            </w:r>
          </w:p>
          <w:p w14:paraId="0BF3F7DF" w14:textId="77777777" w:rsidR="000B3EE9" w:rsidRDefault="000B3EE9" w:rsidP="000B3EE9">
            <w:pPr>
              <w:pStyle w:val="Tabletext"/>
              <w:suppressAutoHyphens/>
              <w:spacing w:before="0" w:after="0"/>
              <w:ind w:right="0"/>
              <w:jc w:val="center"/>
            </w:pPr>
            <w:proofErr w:type="spellStart"/>
            <w:r>
              <w:t>Safe</w:t>
            </w:r>
            <w:proofErr w:type="spellEnd"/>
            <w:r>
              <w:t xml:space="preserve"> and efficient </w:t>
            </w:r>
            <w:proofErr w:type="spellStart"/>
            <w:r>
              <w:t>operations</w:t>
            </w:r>
            <w:proofErr w:type="spellEnd"/>
          </w:p>
          <w:p w14:paraId="2978E5C7" w14:textId="77777777" w:rsidR="000B3EE9" w:rsidRDefault="000B3EE9" w:rsidP="000B3EE9">
            <w:pPr>
              <w:pStyle w:val="Tabletext"/>
              <w:suppressAutoHyphens/>
              <w:spacing w:before="0" w:after="0"/>
              <w:ind w:right="0"/>
              <w:jc w:val="center"/>
            </w:pPr>
            <w:r>
              <w:t xml:space="preserve">Communications - </w:t>
            </w:r>
            <w:proofErr w:type="spellStart"/>
            <w:r>
              <w:t>operational</w:t>
            </w:r>
            <w:proofErr w:type="spellEnd"/>
            <w:r>
              <w:t xml:space="preserve"> </w:t>
            </w:r>
            <w:proofErr w:type="spellStart"/>
            <w:r>
              <w:t>requirements</w:t>
            </w:r>
            <w:proofErr w:type="spellEnd"/>
          </w:p>
          <w:p w14:paraId="1E13CCE0" w14:textId="77777777" w:rsidR="000B3EE9" w:rsidRDefault="000B3EE9" w:rsidP="000B3EE9">
            <w:pPr>
              <w:pStyle w:val="Tabletext"/>
              <w:suppressAutoHyphens/>
              <w:spacing w:before="0" w:after="0"/>
              <w:ind w:right="0"/>
              <w:jc w:val="center"/>
            </w:pPr>
            <w:r>
              <w:t xml:space="preserve">VTS - </w:t>
            </w:r>
            <w:proofErr w:type="spellStart"/>
            <w:r>
              <w:t>Portrayl</w:t>
            </w:r>
            <w:proofErr w:type="spellEnd"/>
          </w:p>
        </w:tc>
      </w:tr>
      <w:tr w:rsidR="000B3EE9" w14:paraId="37D2D9BB" w14:textId="77777777" w:rsidTr="00920862">
        <w:trPr>
          <w:jc w:val="center"/>
        </w:trPr>
        <w:tc>
          <w:tcPr>
            <w:tcW w:w="2263" w:type="dxa"/>
          </w:tcPr>
          <w:p w14:paraId="4A5D844C" w14:textId="77777777" w:rsidR="000B3EE9" w:rsidRDefault="000B3EE9" w:rsidP="000B3EE9">
            <w:pPr>
              <w:pStyle w:val="Tabletext"/>
              <w:suppressAutoHyphens/>
              <w:spacing w:before="0" w:after="0"/>
              <w:ind w:right="0"/>
              <w:jc w:val="center"/>
            </w:pPr>
            <w:r>
              <w:t>ARM</w:t>
            </w:r>
          </w:p>
        </w:tc>
        <w:tc>
          <w:tcPr>
            <w:tcW w:w="4395" w:type="dxa"/>
          </w:tcPr>
          <w:p w14:paraId="00A92145" w14:textId="77777777" w:rsidR="000B3EE9" w:rsidRDefault="000B3EE9" w:rsidP="000B3EE9">
            <w:pPr>
              <w:pStyle w:val="Tabletext"/>
              <w:suppressAutoHyphens/>
              <w:spacing w:before="0" w:after="0"/>
              <w:ind w:right="0"/>
              <w:jc w:val="center"/>
            </w:pPr>
            <w:r>
              <w:t>Management</w:t>
            </w:r>
          </w:p>
          <w:p w14:paraId="736DF661" w14:textId="77777777" w:rsidR="000B3EE9" w:rsidRDefault="000B3EE9" w:rsidP="000B3EE9">
            <w:pPr>
              <w:pStyle w:val="Tabletext"/>
              <w:suppressAutoHyphens/>
              <w:spacing w:before="0" w:after="0"/>
              <w:ind w:right="0"/>
              <w:jc w:val="center"/>
            </w:pPr>
            <w:proofErr w:type="spellStart"/>
            <w:r>
              <w:t>Portrayl</w:t>
            </w:r>
            <w:proofErr w:type="spellEnd"/>
          </w:p>
          <w:p w14:paraId="5C91EEC9" w14:textId="77777777" w:rsidR="000B3EE9" w:rsidRDefault="000B3EE9" w:rsidP="000B3EE9">
            <w:pPr>
              <w:pStyle w:val="Tabletext"/>
              <w:suppressAutoHyphens/>
              <w:spacing w:before="0" w:after="0"/>
              <w:ind w:right="0"/>
              <w:jc w:val="center"/>
            </w:pPr>
            <w:r>
              <w:t xml:space="preserve">Spatial </w:t>
            </w:r>
            <w:proofErr w:type="spellStart"/>
            <w:r>
              <w:t>Awareness</w:t>
            </w:r>
            <w:proofErr w:type="spellEnd"/>
          </w:p>
          <w:p w14:paraId="65826AA9" w14:textId="77777777" w:rsidR="000B3EE9" w:rsidRDefault="000B3EE9" w:rsidP="000B3EE9">
            <w:pPr>
              <w:pStyle w:val="Tabletext"/>
              <w:suppressAutoHyphens/>
              <w:spacing w:before="0" w:after="0"/>
              <w:ind w:right="0"/>
              <w:jc w:val="center"/>
            </w:pPr>
            <w:r>
              <w:t xml:space="preserve">Interaction </w:t>
            </w:r>
            <w:proofErr w:type="spellStart"/>
            <w:r>
              <w:t>with</w:t>
            </w:r>
            <w:proofErr w:type="spellEnd"/>
            <w:r>
              <w:t xml:space="preserve"> </w:t>
            </w:r>
            <w:proofErr w:type="spellStart"/>
            <w:r>
              <w:t>manned</w:t>
            </w:r>
            <w:proofErr w:type="spellEnd"/>
            <w:r>
              <w:t xml:space="preserve"> </w:t>
            </w:r>
            <w:proofErr w:type="spellStart"/>
            <w:r>
              <w:t>vessels</w:t>
            </w:r>
            <w:proofErr w:type="spellEnd"/>
          </w:p>
          <w:p w14:paraId="5742C6D6" w14:textId="77777777" w:rsidR="000B3EE9" w:rsidRDefault="000B3EE9" w:rsidP="000B3EE9">
            <w:pPr>
              <w:pStyle w:val="Tabletext"/>
              <w:suppressAutoHyphens/>
              <w:spacing w:before="0" w:after="0"/>
              <w:ind w:right="0"/>
              <w:jc w:val="center"/>
            </w:pPr>
            <w:proofErr w:type="spellStart"/>
            <w:r>
              <w:t>Risk</w:t>
            </w:r>
            <w:proofErr w:type="spellEnd"/>
            <w:r>
              <w:t xml:space="preserve"> Management &amp; </w:t>
            </w:r>
            <w:proofErr w:type="spellStart"/>
            <w:r>
              <w:t>Assessment</w:t>
            </w:r>
            <w:proofErr w:type="spellEnd"/>
          </w:p>
        </w:tc>
      </w:tr>
      <w:tr w:rsidR="000B3EE9" w14:paraId="09558BC3" w14:textId="77777777" w:rsidTr="00920862">
        <w:trPr>
          <w:jc w:val="center"/>
        </w:trPr>
        <w:tc>
          <w:tcPr>
            <w:tcW w:w="2263" w:type="dxa"/>
          </w:tcPr>
          <w:p w14:paraId="2EF7BA8B" w14:textId="77777777" w:rsidR="000B3EE9" w:rsidRDefault="000B3EE9" w:rsidP="000B3EE9">
            <w:pPr>
              <w:pStyle w:val="Tabletext"/>
              <w:suppressAutoHyphens/>
              <w:spacing w:before="0" w:after="0"/>
              <w:ind w:right="0"/>
              <w:jc w:val="center"/>
            </w:pPr>
            <w:r>
              <w:t>ENG</w:t>
            </w:r>
          </w:p>
        </w:tc>
        <w:tc>
          <w:tcPr>
            <w:tcW w:w="4395" w:type="dxa"/>
          </w:tcPr>
          <w:p w14:paraId="70BC37A4" w14:textId="77777777" w:rsidR="000B3EE9" w:rsidRDefault="000B3EE9" w:rsidP="000B3EE9">
            <w:pPr>
              <w:pStyle w:val="Tabletext"/>
              <w:suppressAutoHyphens/>
              <w:spacing w:before="0" w:after="0"/>
              <w:ind w:right="0"/>
              <w:jc w:val="center"/>
            </w:pPr>
            <w:r>
              <w:t>PNT</w:t>
            </w:r>
          </w:p>
          <w:p w14:paraId="7FAF83EA" w14:textId="77777777" w:rsidR="000B3EE9" w:rsidRDefault="000B3EE9" w:rsidP="000B3EE9">
            <w:pPr>
              <w:pStyle w:val="Tabletext"/>
              <w:suppressAutoHyphens/>
              <w:spacing w:before="0" w:after="0"/>
              <w:ind w:right="0"/>
              <w:jc w:val="center"/>
            </w:pPr>
            <w:r>
              <w:t>Position augmentation</w:t>
            </w:r>
          </w:p>
          <w:p w14:paraId="0B64933C" w14:textId="77777777" w:rsidR="000B3EE9" w:rsidRDefault="000B3EE9" w:rsidP="000B3EE9">
            <w:pPr>
              <w:pStyle w:val="Tabletext"/>
              <w:suppressAutoHyphens/>
              <w:spacing w:before="0" w:after="0"/>
              <w:ind w:right="0"/>
              <w:jc w:val="center"/>
            </w:pPr>
            <w:r>
              <w:t xml:space="preserve">Power </w:t>
            </w:r>
            <w:proofErr w:type="spellStart"/>
            <w:r>
              <w:t>availability</w:t>
            </w:r>
            <w:proofErr w:type="spellEnd"/>
          </w:p>
          <w:p w14:paraId="2C711594" w14:textId="77777777" w:rsidR="000B3EE9" w:rsidRDefault="000B3EE9" w:rsidP="000B3EE9">
            <w:pPr>
              <w:pStyle w:val="Tabletext"/>
              <w:suppressAutoHyphens/>
              <w:spacing w:before="0" w:after="0"/>
              <w:ind w:right="0"/>
              <w:jc w:val="center"/>
            </w:pPr>
            <w:proofErr w:type="spellStart"/>
            <w:r>
              <w:t>Conventional</w:t>
            </w:r>
            <w:proofErr w:type="spellEnd"/>
            <w:r>
              <w:t xml:space="preserve"> AtoN </w:t>
            </w:r>
            <w:proofErr w:type="spellStart"/>
            <w:r>
              <w:t>visibility</w:t>
            </w:r>
            <w:proofErr w:type="spellEnd"/>
            <w:r>
              <w:t xml:space="preserve"> to MASS</w:t>
            </w:r>
          </w:p>
        </w:tc>
      </w:tr>
      <w:tr w:rsidR="000B3EE9" w14:paraId="27156D2E" w14:textId="77777777" w:rsidTr="00920862">
        <w:trPr>
          <w:jc w:val="center"/>
        </w:trPr>
        <w:tc>
          <w:tcPr>
            <w:tcW w:w="2263" w:type="dxa"/>
          </w:tcPr>
          <w:p w14:paraId="31DF65C6" w14:textId="77777777" w:rsidR="000B3EE9" w:rsidRDefault="000B3EE9" w:rsidP="000B3EE9">
            <w:pPr>
              <w:pStyle w:val="BodyText"/>
              <w:spacing w:after="0"/>
              <w:jc w:val="center"/>
            </w:pPr>
            <w:r>
              <w:t>LAP</w:t>
            </w:r>
          </w:p>
        </w:tc>
        <w:tc>
          <w:tcPr>
            <w:tcW w:w="4395" w:type="dxa"/>
          </w:tcPr>
          <w:p w14:paraId="368F0090" w14:textId="00236D8C" w:rsidR="000B3EE9" w:rsidRDefault="000B3EE9" w:rsidP="001B685C">
            <w:pPr>
              <w:pStyle w:val="BodyText"/>
              <w:spacing w:after="0"/>
              <w:jc w:val="center"/>
            </w:pPr>
            <w:proofErr w:type="spellStart"/>
            <w:r>
              <w:t>Liability</w:t>
            </w:r>
            <w:proofErr w:type="spellEnd"/>
          </w:p>
        </w:tc>
      </w:tr>
    </w:tbl>
    <w:p w14:paraId="19133EFC" w14:textId="36917299" w:rsidR="000B3EE9" w:rsidRPr="007A395D" w:rsidRDefault="000B3EE9" w:rsidP="00B56BDF">
      <w:pPr>
        <w:pStyle w:val="BodyText"/>
        <w:rPr>
          <w:rFonts w:ascii="Calibri" w:hAnsi="Calibri"/>
        </w:rPr>
      </w:pPr>
      <w:r>
        <w:rPr>
          <w:rFonts w:ascii="Calibri" w:hAnsi="Calibri"/>
        </w:rPr>
        <w:t xml:space="preserve">Timescales set by PAP request that the guideline is ready for Council </w:t>
      </w:r>
      <w:r w:rsidR="001B685C">
        <w:rPr>
          <w:rFonts w:ascii="Calibri" w:hAnsi="Calibri"/>
        </w:rPr>
        <w:t>approval by the end of 2024 to t</w:t>
      </w:r>
      <w:r>
        <w:rPr>
          <w:rFonts w:ascii="Calibri" w:hAnsi="Calibri"/>
        </w:rPr>
        <w:t>ime is tight to complete this work.</w:t>
      </w:r>
    </w:p>
    <w:p w14:paraId="3C575A26" w14:textId="0F500477" w:rsidR="001C44A3" w:rsidRPr="00605E43" w:rsidRDefault="001B685C" w:rsidP="00605E43">
      <w:pPr>
        <w:pStyle w:val="Heading2"/>
      </w:pPr>
      <w:r>
        <w:lastRenderedPageBreak/>
        <w:t>Request for work at ENG16</w:t>
      </w:r>
    </w:p>
    <w:p w14:paraId="7E2A4642" w14:textId="5B31A4E9" w:rsidR="00E55927" w:rsidRDefault="000B3EE9" w:rsidP="00E55927">
      <w:pPr>
        <w:pStyle w:val="BodyText"/>
        <w:rPr>
          <w:rFonts w:ascii="Calibri" w:hAnsi="Calibri"/>
        </w:rPr>
      </w:pPr>
      <w:r>
        <w:rPr>
          <w:rFonts w:ascii="Calibri" w:hAnsi="Calibri"/>
        </w:rPr>
        <w:t>Working Groups 1</w:t>
      </w:r>
      <w:proofErr w:type="gramStart"/>
      <w:r>
        <w:rPr>
          <w:rFonts w:ascii="Calibri" w:hAnsi="Calibri"/>
        </w:rPr>
        <w:t>,2</w:t>
      </w:r>
      <w:proofErr w:type="gramEnd"/>
      <w:r>
        <w:rPr>
          <w:rFonts w:ascii="Calibri" w:hAnsi="Calibri"/>
        </w:rPr>
        <w:t xml:space="preserve"> and 3 are requested to comme</w:t>
      </w:r>
      <w:r w:rsidR="00432F10">
        <w:rPr>
          <w:rFonts w:ascii="Calibri" w:hAnsi="Calibri"/>
        </w:rPr>
        <w:t>nce the development of the</w:t>
      </w:r>
      <w:r>
        <w:rPr>
          <w:rFonts w:ascii="Calibri" w:hAnsi="Calibri"/>
        </w:rPr>
        <w:t xml:space="preserve"> topics allocated to ENG in the table above. It is understood that ENG16 is the last of this work period and that some items are nearing completion and this new work is not expected to defer the completion of current work, however, if it is possible the relevant working groups are requested to table this work package to enable committee members to start considering text and content for this new AtoN for MASS guideline.</w:t>
      </w:r>
    </w:p>
    <w:p w14:paraId="7801555E" w14:textId="07F22C1C" w:rsidR="001B685C" w:rsidRPr="007A395D" w:rsidRDefault="001B685C" w:rsidP="00E55927">
      <w:pPr>
        <w:pStyle w:val="BodyText"/>
        <w:rPr>
          <w:rFonts w:ascii="Calibri" w:hAnsi="Calibri"/>
        </w:rPr>
      </w:pPr>
      <w:r>
        <w:rPr>
          <w:rFonts w:ascii="Calibri" w:hAnsi="Calibri"/>
        </w:rPr>
        <w:t>This guideline will be a key output in the early stages of the new work plan starting in 2023</w:t>
      </w:r>
    </w:p>
    <w:p w14:paraId="36D645BE" w14:textId="77777777" w:rsidR="00B56BDF" w:rsidRPr="007A395D" w:rsidRDefault="00B56BDF" w:rsidP="00605E43">
      <w:pPr>
        <w:pStyle w:val="Heading2"/>
      </w:pPr>
      <w:r w:rsidRPr="007A395D">
        <w:t>Related documents</w:t>
      </w:r>
    </w:p>
    <w:p w14:paraId="553E55ED" w14:textId="476C7999" w:rsidR="00E55927" w:rsidRDefault="000B3EE9" w:rsidP="00E55927">
      <w:pPr>
        <w:pStyle w:val="BodyText"/>
        <w:rPr>
          <w:rFonts w:ascii="Calibri" w:hAnsi="Calibri"/>
        </w:rPr>
      </w:pPr>
      <w:r>
        <w:rPr>
          <w:rFonts w:ascii="Calibri" w:hAnsi="Calibri"/>
        </w:rPr>
        <w:t>MTF04. 8.1</w:t>
      </w:r>
    </w:p>
    <w:p w14:paraId="2781C796" w14:textId="11DC5CC2" w:rsidR="000B3EE9" w:rsidRPr="0035243F" w:rsidRDefault="000B3EE9" w:rsidP="00E55927">
      <w:pPr>
        <w:pStyle w:val="BodyText"/>
        <w:rPr>
          <w:rFonts w:ascii="Calibri" w:hAnsi="Calibri"/>
        </w:rPr>
      </w:pPr>
      <w:r>
        <w:rPr>
          <w:rFonts w:ascii="Calibri" w:hAnsi="Calibri"/>
        </w:rPr>
        <w:t xml:space="preserve">This document is in its early stages </w:t>
      </w:r>
      <w:r w:rsidR="00CC4B6D">
        <w:rPr>
          <w:rFonts w:ascii="Calibri" w:hAnsi="Calibri"/>
        </w:rPr>
        <w:t>of development</w:t>
      </w:r>
      <w:r w:rsidR="001B685C">
        <w:rPr>
          <w:rFonts w:ascii="Calibri" w:hAnsi="Calibri"/>
        </w:rPr>
        <w:t xml:space="preserve"> and is included for reference only</w:t>
      </w:r>
      <w:r w:rsidR="00CC4B6D">
        <w:rPr>
          <w:rFonts w:ascii="Calibri" w:hAnsi="Calibri"/>
        </w:rPr>
        <w:t>.</w:t>
      </w:r>
    </w:p>
    <w:p w14:paraId="7A8D2F27" w14:textId="77777777" w:rsidR="00A446C9" w:rsidRPr="007A395D" w:rsidRDefault="00A446C9" w:rsidP="00605E43">
      <w:pPr>
        <w:pStyle w:val="Heading1"/>
      </w:pPr>
      <w:r w:rsidRPr="007A395D">
        <w:t>Action requested of the Committee</w:t>
      </w:r>
    </w:p>
    <w:p w14:paraId="16AE6650" w14:textId="78EDE59A" w:rsidR="004D1D85" w:rsidRPr="00441368" w:rsidRDefault="00F25BF4" w:rsidP="00441368">
      <w:pPr>
        <w:pStyle w:val="BodyText"/>
        <w:rPr>
          <w:rFonts w:ascii="Calibri" w:hAnsi="Calibri"/>
        </w:rPr>
      </w:pPr>
      <w:r w:rsidRPr="007A395D">
        <w:rPr>
          <w:rFonts w:ascii="Calibri" w:hAnsi="Calibri"/>
        </w:rPr>
        <w:t>The Commit</w:t>
      </w:r>
      <w:r w:rsidR="000B3EE9">
        <w:rPr>
          <w:rFonts w:ascii="Calibri" w:hAnsi="Calibri"/>
        </w:rPr>
        <w:t xml:space="preserve">tee is requested to commence considering the text and content for the new guideline on </w:t>
      </w:r>
      <w:r w:rsidR="00646D4B">
        <w:rPr>
          <w:rFonts w:ascii="Calibri" w:hAnsi="Calibri"/>
        </w:rPr>
        <w:t>AtoN for MASS</w:t>
      </w:r>
      <w:bookmarkStart w:id="1" w:name="_GoBack"/>
      <w:bookmarkEnd w:id="1"/>
    </w:p>
    <w:sectPr w:rsidR="004D1D85" w:rsidRPr="00441368"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A13C" w14:textId="77777777" w:rsidR="00286FEF" w:rsidRDefault="00286FEF" w:rsidP="00362CD9">
      <w:r>
        <w:separator/>
      </w:r>
    </w:p>
  </w:endnote>
  <w:endnote w:type="continuationSeparator" w:id="0">
    <w:p w14:paraId="2E2C7943"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95564" w14:textId="77777777" w:rsidR="003351C4" w:rsidRDefault="003351C4" w:rsidP="004533B7">
    <w:pPr>
      <w:pStyle w:val="Footerportrait"/>
    </w:pPr>
  </w:p>
  <w:p w14:paraId="50E06A6A" w14:textId="0042DD8B" w:rsidR="004533B7" w:rsidRPr="00C907DF" w:rsidRDefault="001B685C" w:rsidP="004533B7">
    <w:pPr>
      <w:pStyle w:val="Footerportrait"/>
    </w:pPr>
    <w:fldSimple w:instr=" STYLEREF  Title  \* MERGEFORMAT ">
      <w:r w:rsidR="00441368">
        <w:t>MASS Guideline development.</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41368">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E3AD" w14:textId="77777777" w:rsidR="00637047" w:rsidRDefault="00637047" w:rsidP="00637047">
    <w:pPr>
      <w:pStyle w:val="Footerportrait"/>
    </w:pPr>
    <w:r>
      <w:tab/>
    </w:r>
  </w:p>
  <w:p w14:paraId="3A693EAD" w14:textId="4C75FDD7" w:rsidR="00637047" w:rsidRPr="00C907DF" w:rsidRDefault="001B685C" w:rsidP="00637047">
    <w:pPr>
      <w:pStyle w:val="Footerportrait"/>
    </w:pPr>
    <w:fldSimple w:instr=" STYLEREF  Title  \* MERGEFORMAT ">
      <w:r w:rsidR="00646D4B">
        <w:t>MASS Guideline development.</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46D4B">
      <w:rPr>
        <w:rStyle w:val="PageNumber"/>
        <w:szCs w:val="15"/>
      </w:rPr>
      <w:t>1</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8066C" w14:textId="77777777" w:rsidR="00286FEF" w:rsidRDefault="00286FEF" w:rsidP="00362CD9">
      <w:r>
        <w:separator/>
      </w:r>
    </w:p>
  </w:footnote>
  <w:footnote w:type="continuationSeparator" w:id="0">
    <w:p w14:paraId="6C229B4D" w14:textId="77777777" w:rsidR="00286FEF" w:rsidRDefault="00286FEF"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8CA51" w14:textId="0CAE2E27" w:rsidR="007C346C" w:rsidRDefault="007A395D" w:rsidP="007A395D">
    <w:pPr>
      <w:pStyle w:val="Header"/>
      <w:jc w:val="right"/>
    </w:pPr>
    <w:r>
      <w:rPr>
        <w:noProof/>
        <w:lang w:eastAsia="en-GB"/>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6C0F" w14:textId="7F704D96" w:rsidR="00BC2334" w:rsidRDefault="00BC2334" w:rsidP="007A395D">
    <w:pPr>
      <w:pStyle w:val="Header"/>
      <w:jc w:val="center"/>
    </w:pPr>
    <w:r>
      <w:rPr>
        <w:noProof/>
        <w:lang w:eastAsia="en-GB"/>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displayBackgroundShape/>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B3EE9"/>
    <w:rsid w:val="000C1B3E"/>
    <w:rsid w:val="000C349E"/>
    <w:rsid w:val="00110203"/>
    <w:rsid w:val="00110AE7"/>
    <w:rsid w:val="001241C8"/>
    <w:rsid w:val="00177F4D"/>
    <w:rsid w:val="00180DDA"/>
    <w:rsid w:val="001B2A2D"/>
    <w:rsid w:val="001B685C"/>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32F10"/>
    <w:rsid w:val="00441368"/>
    <w:rsid w:val="004533B7"/>
    <w:rsid w:val="004661AD"/>
    <w:rsid w:val="004D1D85"/>
    <w:rsid w:val="004D3C3A"/>
    <w:rsid w:val="004E1CD1"/>
    <w:rsid w:val="004F7616"/>
    <w:rsid w:val="0050690E"/>
    <w:rsid w:val="005107EB"/>
    <w:rsid w:val="00521345"/>
    <w:rsid w:val="0052226E"/>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46D4B"/>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4B6D"/>
    <w:rsid w:val="00CC79CE"/>
    <w:rsid w:val="00CF1871"/>
    <w:rsid w:val="00D019CE"/>
    <w:rsid w:val="00D03075"/>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1bfdac25-5417-4dce-b783-1e79583e09c2"/>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ed72da13-45cf-4b5b-99f8-a2a89cf55939"/>
    <ds:schemaRef ds:uri="http://www.w3.org/XML/1998/namespace"/>
    <ds:schemaRef ds:uri="http://purl.org/dc/dcmitype/"/>
  </ds:schemaRefs>
</ds:datastoreItem>
</file>

<file path=customXml/itemProps3.xml><?xml version="1.0" encoding="utf-8"?>
<ds:datastoreItem xmlns:ds="http://schemas.openxmlformats.org/officeDocument/2006/customXml" ds:itemID="{E9DD3E30-ABF9-44EF-977A-DCDD33B19778}"/>
</file>

<file path=customXml/itemProps4.xml><?xml version="1.0" encoding="utf-8"?>
<ds:datastoreItem xmlns:ds="http://schemas.openxmlformats.org/officeDocument/2006/customXml" ds:itemID="{2C0F52BC-E676-46C0-8387-9A34E52F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26</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Simon Millyard</cp:lastModifiedBy>
  <cp:revision>8</cp:revision>
  <dcterms:created xsi:type="dcterms:W3CDTF">2022-09-13T15:25:00Z</dcterms:created>
  <dcterms:modified xsi:type="dcterms:W3CDTF">2022-09-14T07:42:00Z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